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DE2677">
          <w:pgSz w:w="15840" w:h="12240" w:orient="landscape" w:code="1"/>
          <w:pgMar w:top="1797" w:right="1440" w:bottom="1797" w:left="1440" w:header="720" w:footer="720" w:gutter="0"/>
          <w:cols w:space="720"/>
          <w:vAlign w:val="center"/>
          <w:docGrid w:linePitch="326"/>
        </w:sectPr>
      </w:pPr>
      <w:r w:rsidRPr="005A018C">
        <w:t>L'EFFET DE SERRE</w:t>
      </w:r>
    </w:p>
    <w:p w:rsidR="00FD3DEE" w:rsidRPr="00A90D2F" w:rsidRDefault="00A90D2F" w:rsidP="00A90D2F">
      <w:pPr>
        <w:pStyle w:val="Titre1"/>
      </w:pPr>
      <w:r>
        <w:lastRenderedPageBreak/>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965F85">
          <w:headerReference w:type="default" r:id="rId7"/>
          <w:pgSz w:w="12240" w:h="15840"/>
          <w:pgMar w:top="1440" w:right="1800" w:bottom="1440" w:left="1800" w:header="720" w:footer="720" w:gutter="0"/>
          <w:cols w:space="720"/>
          <w:docGrid w:linePitch="326"/>
        </w:sectPr>
      </w:pP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E11509">
          <w:headerReference w:type="default" r:id="rId8"/>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E11509">
          <w:headerReference w:type="default" r:id="rId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E11509">
          <w:headerReference w:type="default" r:id="rId10"/>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E11509">
          <w:headerReference w:type="default" r:id="rId11"/>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E11509">
          <w:headerReference w:type="default" r:id="rId12"/>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E11509">
          <w:headerReference w:type="default" r:id="rId13"/>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E11509">
          <w:headerReference w:type="default" r:id="rId14"/>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E11509">
          <w:headerReference w:type="default" r:id="rId15"/>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E11509">
          <w:headerReference w:type="default" r:id="rId16"/>
          <w:pgSz w:w="12240" w:h="15840"/>
          <w:pgMar w:top="1440" w:right="1797" w:bottom="1440" w:left="1797" w:header="720" w:footer="720" w:gutter="0"/>
          <w:cols w:space="720"/>
          <w:docGrid w:linePitch="326"/>
        </w:sectPr>
      </w:pPr>
    </w:p>
    <w:p w:rsidR="00C72A64" w:rsidRPr="00610368" w:rsidRDefault="00C72A64" w:rsidP="00610368">
      <w:pPr>
        <w:pStyle w:val="Titre"/>
        <w:rPr>
          <w:rFonts w:ascii="Comic Sans MS" w:hAnsi="Comic Sans MS"/>
        </w:rPr>
      </w:pPr>
      <w:r w:rsidRPr="00610368">
        <w:rPr>
          <w:rFonts w:ascii="Comic Sans MS" w:hAnsi="Comic Sans MS"/>
        </w:rPr>
        <w:t>Effet de serre sur Vénus</w:t>
      </w:r>
    </w:p>
    <w:p w:rsidR="00C72A64" w:rsidRPr="00610368" w:rsidRDefault="00C72A64"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simplePos x="0" y="0"/>
            <wp:positionH relativeFrom="margin">
              <wp:posOffset>4429125</wp:posOffset>
            </wp:positionH>
            <wp:positionV relativeFrom="margin">
              <wp:posOffset>1258570</wp:posOffset>
            </wp:positionV>
            <wp:extent cx="3108960" cy="3314065"/>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17"/>
                    <a:stretch>
                      <a:fillRect/>
                    </a:stretch>
                  </pic:blipFill>
                  <pic:spPr>
                    <a:xfrm>
                      <a:off x="0" y="0"/>
                      <a:ext cx="3108960" cy="3314065"/>
                    </a:xfrm>
                    <a:prstGeom prst="ellipse">
                      <a:avLst/>
                    </a:prstGeom>
                    <a:ln>
                      <a:noFill/>
                    </a:ln>
                    <a:effectLst>
                      <a:softEdge rad="112500"/>
                    </a:effectLst>
                  </pic:spPr>
                </pic:pic>
              </a:graphicData>
            </a:graphic>
          </wp:anchor>
        </w:drawing>
      </w:r>
      <w:r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546BDB">
      <w:pgSz w:w="15840" w:h="12240" w:orient="landscape"/>
      <w:pgMar w:top="1797" w:right="1440" w:bottom="1797" w:left="1440" w:header="720" w:footer="720" w:gutter="0"/>
      <w:cols w:space="720"/>
      <w:vAlign w:val="cen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90F" w:rsidRDefault="0000190F">
      <w:r>
        <w:separator/>
      </w:r>
    </w:p>
  </w:endnote>
  <w:endnote w:type="continuationSeparator" w:id="1">
    <w:p w:rsidR="0000190F" w:rsidRDefault="000019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90F" w:rsidRDefault="0000190F">
      <w:r>
        <w:separator/>
      </w:r>
    </w:p>
  </w:footnote>
  <w:footnote w:type="continuationSeparator" w:id="1">
    <w:p w:rsidR="0000190F" w:rsidRDefault="000019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sidRPr="00BB551A">
      <w:rPr>
        <w:rFonts w:ascii="Comic Sans MS" w:hAnsi="Comic Sans MS"/>
        <w:sz w:val="36"/>
        <w:szCs w:val="36"/>
      </w:rPr>
      <w:t>Bonne nouvelle</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À partir du bois...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déchets dangereux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espèces en voie de disparition</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pluies acides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terre dépotoir</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Plantez un arbre</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 grand gaspillage</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L’emballage</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fabrication du papier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0190F"/>
    <w:rsid w:val="000857CE"/>
    <w:rsid w:val="000B39AE"/>
    <w:rsid w:val="00130935"/>
    <w:rsid w:val="001A4594"/>
    <w:rsid w:val="002266A5"/>
    <w:rsid w:val="002952A6"/>
    <w:rsid w:val="002E4B36"/>
    <w:rsid w:val="00390287"/>
    <w:rsid w:val="003E666D"/>
    <w:rsid w:val="00450023"/>
    <w:rsid w:val="00460019"/>
    <w:rsid w:val="00574457"/>
    <w:rsid w:val="005A018C"/>
    <w:rsid w:val="005B59D2"/>
    <w:rsid w:val="00604A29"/>
    <w:rsid w:val="006136F4"/>
    <w:rsid w:val="006404EF"/>
    <w:rsid w:val="006D3B47"/>
    <w:rsid w:val="007B7ED1"/>
    <w:rsid w:val="007E0142"/>
    <w:rsid w:val="0083738E"/>
    <w:rsid w:val="00861AA5"/>
    <w:rsid w:val="00965F85"/>
    <w:rsid w:val="00975DBA"/>
    <w:rsid w:val="009A2DAA"/>
    <w:rsid w:val="00A26EF6"/>
    <w:rsid w:val="00A90D2F"/>
    <w:rsid w:val="00AA77FE"/>
    <w:rsid w:val="00AF429C"/>
    <w:rsid w:val="00B201B3"/>
    <w:rsid w:val="00B21B84"/>
    <w:rsid w:val="00B86D5D"/>
    <w:rsid w:val="00BB551A"/>
    <w:rsid w:val="00BC0615"/>
    <w:rsid w:val="00C10053"/>
    <w:rsid w:val="00C122EE"/>
    <w:rsid w:val="00C72A64"/>
    <w:rsid w:val="00C740E8"/>
    <w:rsid w:val="00CA18D4"/>
    <w:rsid w:val="00D25B2C"/>
    <w:rsid w:val="00DE2677"/>
    <w:rsid w:val="00E11509"/>
    <w:rsid w:val="00E3584F"/>
    <w:rsid w:val="00E67292"/>
    <w:rsid w:val="00E7237E"/>
    <w:rsid w:val="00F0184A"/>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1916</Words>
  <Characters>10538</Characters>
  <Application>Microsoft Office Word</Application>
  <DocSecurity>0</DocSecurity>
  <Lines>87</Lines>
  <Paragraphs>24</Paragraphs>
  <ScaleCrop>false</ScaleCrop>
  <HeadingPairs>
    <vt:vector size="4" baseType="variant">
      <vt:variant>
        <vt:lpstr>Titre</vt:lpstr>
      </vt:variant>
      <vt:variant>
        <vt:i4>1</vt:i4>
      </vt:variant>
      <vt:variant>
        <vt:lpstr>Titres</vt:lpstr>
      </vt:variant>
      <vt:variant>
        <vt:i4>38</vt:i4>
      </vt:variant>
    </vt:vector>
  </HeadingPairs>
  <TitlesOfParts>
    <vt:vector size="39"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vector>
  </TitlesOfParts>
  <Company>Agence Spatiale Canadienne</Company>
  <LinksUpToDate>false</LinksUpToDate>
  <CharactersWithSpaces>12430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3</cp:revision>
  <dcterms:created xsi:type="dcterms:W3CDTF">2008-11-16T01:40:00Z</dcterms:created>
  <dcterms:modified xsi:type="dcterms:W3CDTF">2008-11-16T02:15:00Z</dcterms:modified>
</cp:coreProperties>
</file>