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3E" w:rsidRDefault="006520C3" w:rsidP="0030473E">
      <w:pPr>
        <w:pStyle w:val="Titre"/>
      </w:pPr>
      <w:r>
        <w:rPr>
          <w:noProof/>
          <w:lang w:eastAsia="fr-CA"/>
        </w:rPr>
        <w:t>Les sauts de page</w:t>
      </w:r>
    </w:p>
    <w:p w:rsidR="004E5003" w:rsidRDefault="004E5003" w:rsidP="00FA642E">
      <w:pPr>
        <w:pStyle w:val="Titre2"/>
        <w:rPr>
          <w:color w:val="D99594" w:themeColor="accent2" w:themeTint="99"/>
        </w:rPr>
      </w:pPr>
      <w:bookmarkStart w:id="0" w:name="_Toc299114323"/>
      <w:r>
        <w:rPr>
          <w:color w:val="D99594" w:themeColor="accent2" w:themeTint="99"/>
        </w:rPr>
        <w:br w:type="page"/>
      </w:r>
    </w:p>
    <w:p w:rsidR="00FA642E" w:rsidRPr="00A90D2F" w:rsidRDefault="00FA642E" w:rsidP="00FA642E">
      <w:pPr>
        <w:pStyle w:val="Titre2"/>
        <w:rPr>
          <w:color w:val="D99594" w:themeColor="accent2" w:themeTint="99"/>
        </w:rPr>
      </w:pPr>
      <w:r>
        <w:rPr>
          <w:color w:val="D99594" w:themeColor="accent2" w:themeTint="99"/>
        </w:rPr>
        <w:lastRenderedPageBreak/>
        <w:t>Bonne nouvelle</w:t>
      </w:r>
      <w:bookmarkEnd w:id="0"/>
    </w:p>
    <w:p w:rsidR="00FA642E" w:rsidRPr="005A018C" w:rsidRDefault="00FA642E" w:rsidP="00FA642E">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Pr="005A018C">
        <w:rPr>
          <w:rFonts w:eastAsia="MS Mincho"/>
        </w:rPr>
        <w:t xml:space="preserve"> </w:t>
      </w:r>
    </w:p>
    <w:p w:rsidR="00FA642E" w:rsidRPr="005A018C" w:rsidRDefault="00FA642E" w:rsidP="00FA642E">
      <w:pPr>
        <w:pStyle w:val="Titre3"/>
      </w:pPr>
      <w:bookmarkStart w:id="1" w:name="_Toc299114324"/>
      <w:r w:rsidRPr="005A018C">
        <w:t>Mauvaises nouvelles</w:t>
      </w:r>
      <w:bookmarkEnd w:id="1"/>
    </w:p>
    <w:p w:rsidR="00FA642E" w:rsidRPr="005A018C" w:rsidRDefault="00FA642E" w:rsidP="00FA642E">
      <w:pPr>
        <w:jc w:val="both"/>
      </w:pPr>
      <w:r w:rsidRPr="005A018C">
        <w:t>Depuis quelques années, les gaz responsables de l'effet de serre sont en constante augmentation dans l'atmosphère, en raison de l'activité humaine.</w:t>
      </w:r>
    </w:p>
    <w:p w:rsidR="00FA642E" w:rsidRPr="00AA77FE" w:rsidRDefault="00FA642E" w:rsidP="00FA642E">
      <w:pPr>
        <w:pStyle w:val="Titre3"/>
      </w:pPr>
      <w:bookmarkStart w:id="2" w:name="_Toc299114325"/>
      <w:r w:rsidRPr="00AA77FE">
        <w:t>La catastrophe</w:t>
      </w:r>
      <w:bookmarkEnd w:id="2"/>
    </w:p>
    <w:p w:rsidR="00FA642E" w:rsidRPr="005A018C" w:rsidRDefault="00FA642E" w:rsidP="00FA642E">
      <w:pPr>
        <w:jc w:val="both"/>
      </w:pPr>
      <w:r w:rsidRPr="005A018C">
        <w:t>Au cours de 50 années à venir, ce processus doit entrainer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A642E" w:rsidRPr="005A018C" w:rsidRDefault="00FA642E" w:rsidP="00FA642E">
      <w:pPr>
        <w:pStyle w:val="Titre3"/>
      </w:pPr>
      <w:bookmarkStart w:id="3" w:name="_Toc299114326"/>
      <w:r w:rsidRPr="005A018C">
        <w:t>L'espoir</w:t>
      </w:r>
      <w:bookmarkEnd w:id="3"/>
    </w:p>
    <w:p w:rsidR="00FA642E" w:rsidRPr="005A018C" w:rsidRDefault="00FA642E" w:rsidP="00FA642E">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A642E" w:rsidRPr="005A018C" w:rsidRDefault="00FA642E" w:rsidP="00FA642E">
      <w:pPr>
        <w:pStyle w:val="Titre2"/>
        <w:rPr>
          <w:color w:val="D99594" w:themeColor="accent2" w:themeTint="99"/>
        </w:rPr>
      </w:pPr>
      <w:bookmarkStart w:id="4" w:name="_Toc299114327"/>
      <w:r w:rsidRPr="005A018C">
        <w:rPr>
          <w:color w:val="D99594" w:themeColor="accent2" w:themeTint="99"/>
        </w:rPr>
        <w:t>Les déchets dangereux</w:t>
      </w:r>
      <w:bookmarkEnd w:id="4"/>
    </w:p>
    <w:p w:rsidR="00FA642E" w:rsidRPr="005A018C" w:rsidRDefault="00FA642E" w:rsidP="00FA642E">
      <w:pPr>
        <w:pStyle w:val="Titre3"/>
      </w:pPr>
      <w:bookmarkStart w:id="5" w:name="_Toc299114328"/>
      <w:r w:rsidRPr="005A018C">
        <w:t>Que sont-ils?</w:t>
      </w:r>
      <w:bookmarkEnd w:id="5"/>
    </w:p>
    <w:p w:rsidR="00FA642E" w:rsidRPr="005A018C" w:rsidRDefault="00FA642E" w:rsidP="00FA642E">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4E5003" w:rsidRDefault="004E5003" w:rsidP="00FA642E">
      <w:pPr>
        <w:pStyle w:val="Titre3"/>
      </w:pPr>
      <w:bookmarkStart w:id="6" w:name="_Toc299114329"/>
      <w:r>
        <w:br w:type="page"/>
      </w:r>
    </w:p>
    <w:p w:rsidR="00FA642E" w:rsidRPr="005A018C" w:rsidRDefault="00FA642E" w:rsidP="00FA642E">
      <w:pPr>
        <w:pStyle w:val="Titre3"/>
      </w:pPr>
      <w:r w:rsidRPr="005A018C">
        <w:lastRenderedPageBreak/>
        <w:t>D'où viennent-ils?</w:t>
      </w:r>
      <w:bookmarkEnd w:id="6"/>
    </w:p>
    <w:p w:rsidR="00FA642E" w:rsidRPr="005A018C" w:rsidRDefault="00FA642E" w:rsidP="00FA642E">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FA642E" w:rsidRDefault="00FA642E" w:rsidP="00FA642E">
      <w:pPr>
        <w:jc w:val="both"/>
      </w:pPr>
      <w:r w:rsidRPr="005A018C">
        <w:t>Au Canada, de 30 000 à 40 000 produits chimiques sont présentement manufacturés ou commercialisés.</w:t>
      </w:r>
    </w:p>
    <w:p w:rsidR="00FA642E" w:rsidRPr="005A018C" w:rsidRDefault="00FA642E" w:rsidP="00FA642E">
      <w:pPr>
        <w:pStyle w:val="Titre3"/>
      </w:pPr>
      <w:bookmarkStart w:id="7" w:name="_Toc299114330"/>
      <w:r>
        <w:t>Q</w:t>
      </w:r>
      <w:r w:rsidRPr="005A018C">
        <w:t>ue font-ils?</w:t>
      </w:r>
      <w:bookmarkEnd w:id="7"/>
    </w:p>
    <w:p w:rsidR="00FA642E" w:rsidRDefault="00FA642E" w:rsidP="00FA642E">
      <w:pPr>
        <w:jc w:val="both"/>
      </w:pPr>
      <w:r w:rsidRPr="005A018C">
        <w:t>Cette pollution, surtout lorsqu'elle atteint les sources d'approvisionnement en eau potable, cause des dommages irréversibles au milieu naturel, ce qui se traduit par des risques pour la santé humaine.</w:t>
      </w:r>
    </w:p>
    <w:p w:rsidR="00FA642E" w:rsidRPr="000632FB" w:rsidRDefault="00FA642E" w:rsidP="00FA642E">
      <w:pPr>
        <w:pStyle w:val="Titre2"/>
        <w:rPr>
          <w:color w:val="D99594" w:themeColor="accent2" w:themeTint="99"/>
        </w:rPr>
      </w:pPr>
      <w:bookmarkStart w:id="8" w:name="_Toc299114331"/>
      <w:r w:rsidRPr="000632FB">
        <w:rPr>
          <w:color w:val="D99594" w:themeColor="accent2" w:themeTint="99"/>
        </w:rPr>
        <w:t>Les espèces en voie de disparition</w:t>
      </w:r>
      <w:bookmarkEnd w:id="8"/>
    </w:p>
    <w:p w:rsidR="00FA642E" w:rsidRPr="005A018C" w:rsidRDefault="00FA642E" w:rsidP="00FA642E">
      <w:pPr>
        <w:pStyle w:val="Titre3"/>
      </w:pPr>
      <w:bookmarkStart w:id="9" w:name="_Toc299114332"/>
      <w:r w:rsidRPr="005A018C">
        <w:t>Un véritable massacre</w:t>
      </w:r>
      <w:bookmarkEnd w:id="9"/>
    </w:p>
    <w:p w:rsidR="00FA642E" w:rsidRPr="005A018C" w:rsidRDefault="00FA642E" w:rsidP="00FA642E">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A642E" w:rsidRPr="005A018C" w:rsidRDefault="00FA642E" w:rsidP="00FA642E">
      <w:pPr>
        <w:pStyle w:val="Titre3"/>
      </w:pPr>
      <w:bookmarkStart w:id="10" w:name="_Toc299114333"/>
      <w:r w:rsidRPr="005A018C">
        <w:t>La fin du massacre</w:t>
      </w:r>
      <w:bookmarkEnd w:id="10"/>
    </w:p>
    <w:p w:rsidR="00FA642E" w:rsidRPr="005A018C" w:rsidRDefault="00FA642E" w:rsidP="00FA642E">
      <w:pPr>
        <w:jc w:val="both"/>
      </w:pPr>
      <w:r w:rsidRPr="005A018C">
        <w:t>Les plantes et les animaux perdus le sont pour toujours, mais il est encore temps de sauver les centaines de milliers d'espèce en danger. Nos gestes, nos choix quotidiens doivent respecter l'environnement.</w:t>
      </w:r>
    </w:p>
    <w:p w:rsidR="00FA642E" w:rsidRPr="000632FB" w:rsidRDefault="00FA642E" w:rsidP="00FA642E">
      <w:pPr>
        <w:pStyle w:val="Titre3"/>
      </w:pPr>
      <w:bookmarkStart w:id="11" w:name="_Toc299114334"/>
      <w:r w:rsidRPr="000632FB">
        <w:t>Les pluies acides</w:t>
      </w:r>
      <w:bookmarkEnd w:id="11"/>
    </w:p>
    <w:p w:rsidR="00FA642E" w:rsidRPr="005A018C" w:rsidRDefault="00FA642E" w:rsidP="00FA642E">
      <w:pPr>
        <w:pStyle w:val="Titre3"/>
      </w:pPr>
      <w:bookmarkStart w:id="12" w:name="_Toc299114335"/>
      <w:r w:rsidRPr="005A018C">
        <w:t>Deux grands fautifs</w:t>
      </w:r>
      <w:bookmarkEnd w:id="12"/>
    </w:p>
    <w:p w:rsidR="00FA642E" w:rsidRPr="005A018C" w:rsidRDefault="00FA642E" w:rsidP="00FA642E">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A642E" w:rsidRPr="005A018C" w:rsidRDefault="00FA642E" w:rsidP="00FA642E">
      <w:pPr>
        <w:pStyle w:val="Titre3"/>
      </w:pPr>
      <w:bookmarkStart w:id="13" w:name="_Toc299114336"/>
      <w:r w:rsidRPr="005A018C">
        <w:t>Les grandes victimes</w:t>
      </w:r>
      <w:bookmarkEnd w:id="13"/>
    </w:p>
    <w:p w:rsidR="00FA642E" w:rsidRPr="005A018C" w:rsidRDefault="00FA642E" w:rsidP="00FA642E">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A642E" w:rsidRPr="005A018C" w:rsidRDefault="00FA642E" w:rsidP="00FA642E">
      <w:pPr>
        <w:pStyle w:val="Titre3"/>
      </w:pPr>
      <w:bookmarkStart w:id="14" w:name="_Toc299114337"/>
      <w:r w:rsidRPr="005A018C">
        <w:t>Une urgence neige!</w:t>
      </w:r>
      <w:bookmarkEnd w:id="14"/>
    </w:p>
    <w:p w:rsidR="00FA642E" w:rsidRPr="005A018C" w:rsidRDefault="00FA642E" w:rsidP="00FA642E">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A642E" w:rsidRPr="005A018C" w:rsidRDefault="00FA642E" w:rsidP="00FA642E">
      <w:pPr>
        <w:pStyle w:val="Titre2"/>
        <w:rPr>
          <w:color w:val="D99594" w:themeColor="accent2" w:themeTint="99"/>
        </w:rPr>
      </w:pPr>
      <w:bookmarkStart w:id="15" w:name="_Toc299114338"/>
      <w:r w:rsidRPr="005A018C">
        <w:rPr>
          <w:color w:val="D99594" w:themeColor="accent2" w:themeTint="99"/>
        </w:rPr>
        <w:lastRenderedPageBreak/>
        <w:t>La terre dépotoir</w:t>
      </w:r>
      <w:bookmarkEnd w:id="15"/>
    </w:p>
    <w:p w:rsidR="00FA642E" w:rsidRPr="005A018C" w:rsidRDefault="00FA642E" w:rsidP="00FA642E">
      <w:pPr>
        <w:pStyle w:val="Titre3"/>
      </w:pPr>
      <w:bookmarkStart w:id="16" w:name="_Toc299114339"/>
      <w:r w:rsidRPr="005A018C">
        <w:t>Des dégâts visibles</w:t>
      </w:r>
      <w:bookmarkEnd w:id="16"/>
    </w:p>
    <w:p w:rsidR="00FA642E" w:rsidRPr="005A018C" w:rsidRDefault="00FA642E" w:rsidP="00FA642E">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A642E" w:rsidRPr="005A018C" w:rsidRDefault="00FA642E" w:rsidP="00FA642E">
      <w:pPr>
        <w:pStyle w:val="Titre3"/>
      </w:pPr>
      <w:bookmarkStart w:id="17" w:name="_Toc299114340"/>
      <w:r w:rsidRPr="005A018C">
        <w:t>Et invisibles!</w:t>
      </w:r>
      <w:bookmarkEnd w:id="17"/>
    </w:p>
    <w:p w:rsidR="004E5003" w:rsidRDefault="00FA642E" w:rsidP="002C453A">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w:t>
      </w:r>
      <w:r w:rsidR="002C453A">
        <w:t>sion dans la chaîne alimentaire</w:t>
      </w:r>
      <w:r w:rsidR="004E5003">
        <w:br w:type="page"/>
      </w:r>
    </w:p>
    <w:p w:rsidR="004E5003" w:rsidRDefault="004E5003">
      <w:r>
        <w:rPr>
          <w:lang w:val="fr-FR"/>
        </w:rPr>
        <w:lastRenderedPageBreak/>
        <w:t>Inscription dans les collèges locaux, 2005</w:t>
      </w:r>
    </w:p>
    <w:tbl>
      <w:tblPr>
        <w:tblStyle w:val="Trameclaire-Accent1"/>
        <w:tblW w:w="5000" w:type="pct"/>
        <w:tblLook w:val="0660" w:firstRow="1" w:lastRow="1" w:firstColumn="0" w:lastColumn="0" w:noHBand="1" w:noVBand="1"/>
      </w:tblPr>
      <w:tblGrid>
        <w:gridCol w:w="2394"/>
        <w:gridCol w:w="2394"/>
        <w:gridCol w:w="2394"/>
        <w:gridCol w:w="2394"/>
      </w:tblGrid>
      <w:tr w:rsidR="004E5003" w:rsidTr="00B25D13">
        <w:trPr>
          <w:cnfStyle w:val="100000000000" w:firstRow="1" w:lastRow="0" w:firstColumn="0" w:lastColumn="0" w:oddVBand="0" w:evenVBand="0" w:oddHBand="0" w:evenHBand="0" w:firstRowFirstColumn="0" w:firstRowLastColumn="0" w:lastRowFirstColumn="0" w:lastRowLastColumn="0"/>
        </w:trPr>
        <w:tc>
          <w:tcPr>
            <w:tcW w:w="1250" w:type="pct"/>
            <w:noWrap/>
          </w:tcPr>
          <w:p w:rsidR="004E5003" w:rsidRDefault="004E5003">
            <w:pPr>
              <w:rPr>
                <w:color w:val="365F91" w:themeColor="accent1" w:themeShade="BF"/>
              </w:rPr>
            </w:pPr>
            <w:bookmarkStart w:id="18" w:name="_GoBack"/>
            <w:bookmarkEnd w:id="18"/>
            <w:r>
              <w:rPr>
                <w:color w:val="365F91" w:themeColor="accent1" w:themeShade="BF"/>
                <w:lang w:val="fr-FR"/>
              </w:rPr>
              <w:t>Collège</w:t>
            </w:r>
          </w:p>
        </w:tc>
        <w:tc>
          <w:tcPr>
            <w:tcW w:w="1250" w:type="pct"/>
          </w:tcPr>
          <w:p w:rsidR="004E5003" w:rsidRDefault="004E5003">
            <w:pPr>
              <w:rPr>
                <w:color w:val="365F91" w:themeColor="accent1" w:themeShade="BF"/>
              </w:rPr>
            </w:pPr>
            <w:r>
              <w:rPr>
                <w:color w:val="365F91" w:themeColor="accent1" w:themeShade="BF"/>
                <w:lang w:val="fr-FR"/>
              </w:rPr>
              <w:t>Nouveaux étudiants</w:t>
            </w:r>
          </w:p>
        </w:tc>
        <w:tc>
          <w:tcPr>
            <w:tcW w:w="1250" w:type="pct"/>
          </w:tcPr>
          <w:p w:rsidR="004E5003" w:rsidRDefault="004E5003">
            <w:pPr>
              <w:rPr>
                <w:color w:val="365F91" w:themeColor="accent1" w:themeShade="BF"/>
              </w:rPr>
            </w:pPr>
            <w:r>
              <w:rPr>
                <w:color w:val="365F91" w:themeColor="accent1" w:themeShade="BF"/>
                <w:lang w:val="fr-FR"/>
              </w:rPr>
              <w:t>Étudiants du deuxième cycle</w:t>
            </w:r>
          </w:p>
        </w:tc>
        <w:tc>
          <w:tcPr>
            <w:tcW w:w="1250" w:type="pct"/>
          </w:tcPr>
          <w:p w:rsidR="004E5003" w:rsidRDefault="004E5003">
            <w:pPr>
              <w:rPr>
                <w:color w:val="365F91" w:themeColor="accent1" w:themeShade="BF"/>
              </w:rPr>
            </w:pPr>
            <w:r>
              <w:rPr>
                <w:color w:val="365F91" w:themeColor="accent1" w:themeShade="BF"/>
                <w:lang w:val="fr-FR"/>
              </w:rPr>
              <w:t>Variation</w:t>
            </w:r>
          </w:p>
        </w:tc>
      </w:tr>
      <w:tr w:rsidR="004E5003" w:rsidTr="00B25D13">
        <w:tc>
          <w:tcPr>
            <w:tcW w:w="1250" w:type="pct"/>
            <w:noWrap/>
          </w:tcPr>
          <w:p w:rsidR="004E5003" w:rsidRDefault="004E5003">
            <w:pPr>
              <w:rPr>
                <w:color w:val="365F91" w:themeColor="accent1" w:themeShade="BF"/>
              </w:rPr>
            </w:pPr>
          </w:p>
        </w:tc>
        <w:tc>
          <w:tcPr>
            <w:tcW w:w="1250" w:type="pct"/>
          </w:tcPr>
          <w:p w:rsidR="004E5003" w:rsidRDefault="004E5003">
            <w:pPr>
              <w:rPr>
                <w:rStyle w:val="Emphaseple"/>
                <w:color w:val="7F7F7F" w:themeColor="text1" w:themeTint="80"/>
              </w:rPr>
            </w:pPr>
            <w:r>
              <w:rPr>
                <w:rStyle w:val="Emphaseple"/>
                <w:color w:val="7F7F7F" w:themeColor="text1" w:themeTint="80"/>
                <w:lang w:val="fr-FR"/>
              </w:rPr>
              <w:t>Étudiant du premier cycle</w:t>
            </w:r>
          </w:p>
        </w:tc>
        <w:tc>
          <w:tcPr>
            <w:tcW w:w="1250" w:type="pct"/>
          </w:tcPr>
          <w:p w:rsidR="004E5003" w:rsidRDefault="004E5003">
            <w:pPr>
              <w:rPr>
                <w:color w:val="365F91" w:themeColor="accent1" w:themeShade="BF"/>
              </w:rPr>
            </w:pPr>
          </w:p>
        </w:tc>
        <w:tc>
          <w:tcPr>
            <w:tcW w:w="1250" w:type="pct"/>
          </w:tcPr>
          <w:p w:rsidR="004E5003" w:rsidRDefault="004E5003">
            <w:pPr>
              <w:rPr>
                <w:color w:val="365F91" w:themeColor="accent1" w:themeShade="BF"/>
              </w:rPr>
            </w:pP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Université du cèdre</w:t>
            </w:r>
          </w:p>
        </w:tc>
        <w:tc>
          <w:tcPr>
            <w:tcW w:w="1250" w:type="pct"/>
          </w:tcPr>
          <w:p w:rsidR="004E5003" w:rsidRDefault="004E5003">
            <w:pPr>
              <w:pStyle w:val="DecimalAligned"/>
              <w:rPr>
                <w:color w:val="365F91" w:themeColor="accent1" w:themeShade="BF"/>
              </w:rPr>
            </w:pPr>
            <w:r>
              <w:rPr>
                <w:color w:val="365F91" w:themeColor="accent1" w:themeShade="BF"/>
                <w:lang w:val="fr-FR"/>
              </w:rPr>
              <w:t>110</w:t>
            </w:r>
          </w:p>
        </w:tc>
        <w:tc>
          <w:tcPr>
            <w:tcW w:w="1250" w:type="pct"/>
          </w:tcPr>
          <w:p w:rsidR="004E5003" w:rsidRDefault="004E5003">
            <w:pPr>
              <w:pStyle w:val="DecimalAligned"/>
              <w:rPr>
                <w:color w:val="365F91" w:themeColor="accent1" w:themeShade="BF"/>
              </w:rPr>
            </w:pPr>
            <w:r>
              <w:rPr>
                <w:color w:val="365F91" w:themeColor="accent1" w:themeShade="BF"/>
                <w:lang w:val="fr-FR"/>
              </w:rPr>
              <w:t>103</w:t>
            </w:r>
          </w:p>
        </w:tc>
        <w:tc>
          <w:tcPr>
            <w:tcW w:w="1250" w:type="pct"/>
          </w:tcPr>
          <w:p w:rsidR="004E5003" w:rsidRDefault="004E5003">
            <w:pPr>
              <w:pStyle w:val="DecimalAligned"/>
              <w:rPr>
                <w:color w:val="365F91" w:themeColor="accent1" w:themeShade="BF"/>
              </w:rPr>
            </w:pPr>
            <w:r>
              <w:rPr>
                <w:color w:val="365F91" w:themeColor="accent1" w:themeShade="BF"/>
                <w:lang w:val="fr-FR"/>
              </w:rPr>
              <w:t>+7</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Collège de l’orme</w:t>
            </w:r>
          </w:p>
        </w:tc>
        <w:tc>
          <w:tcPr>
            <w:tcW w:w="1250" w:type="pct"/>
          </w:tcPr>
          <w:p w:rsidR="004E5003" w:rsidRDefault="004E5003">
            <w:pPr>
              <w:pStyle w:val="DecimalAligned"/>
              <w:rPr>
                <w:color w:val="365F91" w:themeColor="accent1" w:themeShade="BF"/>
              </w:rPr>
            </w:pPr>
            <w:r>
              <w:rPr>
                <w:color w:val="365F91" w:themeColor="accent1" w:themeShade="BF"/>
                <w:lang w:val="fr-FR"/>
              </w:rPr>
              <w:t>223</w:t>
            </w:r>
          </w:p>
        </w:tc>
        <w:tc>
          <w:tcPr>
            <w:tcW w:w="1250" w:type="pct"/>
          </w:tcPr>
          <w:p w:rsidR="004E5003" w:rsidRDefault="004E5003">
            <w:pPr>
              <w:pStyle w:val="DecimalAligned"/>
              <w:rPr>
                <w:color w:val="365F91" w:themeColor="accent1" w:themeShade="BF"/>
              </w:rPr>
            </w:pPr>
            <w:r>
              <w:rPr>
                <w:color w:val="365F91" w:themeColor="accent1" w:themeShade="BF"/>
                <w:lang w:val="fr-FR"/>
              </w:rPr>
              <w:t>214</w:t>
            </w:r>
          </w:p>
        </w:tc>
        <w:tc>
          <w:tcPr>
            <w:tcW w:w="1250" w:type="pct"/>
          </w:tcPr>
          <w:p w:rsidR="004E5003" w:rsidRDefault="004E5003">
            <w:pPr>
              <w:pStyle w:val="DecimalAligned"/>
              <w:rPr>
                <w:color w:val="365F91" w:themeColor="accent1" w:themeShade="BF"/>
              </w:rPr>
            </w:pPr>
            <w:r>
              <w:rPr>
                <w:color w:val="365F91" w:themeColor="accent1" w:themeShade="BF"/>
                <w:lang w:val="fr-FR"/>
              </w:rPr>
              <w:t>+9</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 xml:space="preserve">Académie de l’érable </w:t>
            </w:r>
          </w:p>
        </w:tc>
        <w:tc>
          <w:tcPr>
            <w:tcW w:w="1250" w:type="pct"/>
          </w:tcPr>
          <w:p w:rsidR="004E5003" w:rsidRDefault="004E5003">
            <w:pPr>
              <w:pStyle w:val="DecimalAligned"/>
              <w:rPr>
                <w:color w:val="365F91" w:themeColor="accent1" w:themeShade="BF"/>
              </w:rPr>
            </w:pPr>
            <w:r>
              <w:rPr>
                <w:color w:val="365F91" w:themeColor="accent1" w:themeShade="BF"/>
                <w:lang w:val="fr-FR"/>
              </w:rPr>
              <w:t>197</w:t>
            </w:r>
          </w:p>
        </w:tc>
        <w:tc>
          <w:tcPr>
            <w:tcW w:w="1250" w:type="pct"/>
          </w:tcPr>
          <w:p w:rsidR="004E5003" w:rsidRDefault="004E5003">
            <w:pPr>
              <w:pStyle w:val="DecimalAligned"/>
              <w:rPr>
                <w:color w:val="365F91" w:themeColor="accent1" w:themeShade="BF"/>
              </w:rPr>
            </w:pPr>
            <w:r>
              <w:rPr>
                <w:color w:val="365F91" w:themeColor="accent1" w:themeShade="BF"/>
                <w:lang w:val="fr-FR"/>
              </w:rPr>
              <w:t>120</w:t>
            </w:r>
          </w:p>
        </w:tc>
        <w:tc>
          <w:tcPr>
            <w:tcW w:w="1250" w:type="pct"/>
          </w:tcPr>
          <w:p w:rsidR="004E5003" w:rsidRDefault="004E5003">
            <w:pPr>
              <w:pStyle w:val="DecimalAligned"/>
              <w:rPr>
                <w:color w:val="365F91" w:themeColor="accent1" w:themeShade="BF"/>
              </w:rPr>
            </w:pPr>
            <w:r>
              <w:rPr>
                <w:color w:val="365F91" w:themeColor="accent1" w:themeShade="BF"/>
                <w:lang w:val="fr-FR"/>
              </w:rPr>
              <w:t>+77</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Collège des pinacées</w:t>
            </w:r>
          </w:p>
        </w:tc>
        <w:tc>
          <w:tcPr>
            <w:tcW w:w="1250" w:type="pct"/>
          </w:tcPr>
          <w:p w:rsidR="004E5003" w:rsidRDefault="004E5003">
            <w:pPr>
              <w:pStyle w:val="DecimalAligned"/>
              <w:rPr>
                <w:color w:val="365F91" w:themeColor="accent1" w:themeShade="BF"/>
              </w:rPr>
            </w:pPr>
            <w:r>
              <w:rPr>
                <w:color w:val="365F91" w:themeColor="accent1" w:themeShade="BF"/>
                <w:lang w:val="fr-FR"/>
              </w:rPr>
              <w:t>134</w:t>
            </w:r>
          </w:p>
        </w:tc>
        <w:tc>
          <w:tcPr>
            <w:tcW w:w="1250" w:type="pct"/>
          </w:tcPr>
          <w:p w:rsidR="004E5003" w:rsidRDefault="004E5003">
            <w:pPr>
              <w:pStyle w:val="DecimalAligned"/>
              <w:rPr>
                <w:color w:val="365F91" w:themeColor="accent1" w:themeShade="BF"/>
              </w:rPr>
            </w:pPr>
            <w:r>
              <w:rPr>
                <w:color w:val="365F91" w:themeColor="accent1" w:themeShade="BF"/>
                <w:lang w:val="fr-FR"/>
              </w:rPr>
              <w:t>121</w:t>
            </w:r>
          </w:p>
        </w:tc>
        <w:tc>
          <w:tcPr>
            <w:tcW w:w="1250" w:type="pct"/>
          </w:tcPr>
          <w:p w:rsidR="004E5003" w:rsidRDefault="004E5003">
            <w:pPr>
              <w:pStyle w:val="DecimalAligned"/>
              <w:rPr>
                <w:color w:val="365F91" w:themeColor="accent1" w:themeShade="BF"/>
              </w:rPr>
            </w:pPr>
            <w:r>
              <w:rPr>
                <w:color w:val="365F91" w:themeColor="accent1" w:themeShade="BF"/>
                <w:lang w:val="fr-FR"/>
              </w:rPr>
              <w:t>+13</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Institut du chêne</w:t>
            </w:r>
          </w:p>
        </w:tc>
        <w:tc>
          <w:tcPr>
            <w:tcW w:w="1250" w:type="pct"/>
          </w:tcPr>
          <w:p w:rsidR="004E5003" w:rsidRDefault="004E5003">
            <w:pPr>
              <w:pStyle w:val="DecimalAligned"/>
              <w:rPr>
                <w:color w:val="365F91" w:themeColor="accent1" w:themeShade="BF"/>
              </w:rPr>
            </w:pPr>
            <w:r>
              <w:rPr>
                <w:color w:val="365F91" w:themeColor="accent1" w:themeShade="BF"/>
                <w:lang w:val="fr-FR"/>
              </w:rPr>
              <w:t>202</w:t>
            </w:r>
          </w:p>
        </w:tc>
        <w:tc>
          <w:tcPr>
            <w:tcW w:w="1250" w:type="pct"/>
          </w:tcPr>
          <w:p w:rsidR="004E5003" w:rsidRDefault="004E5003">
            <w:pPr>
              <w:pStyle w:val="DecimalAligned"/>
              <w:rPr>
                <w:color w:val="365F91" w:themeColor="accent1" w:themeShade="BF"/>
              </w:rPr>
            </w:pPr>
            <w:r>
              <w:rPr>
                <w:color w:val="365F91" w:themeColor="accent1" w:themeShade="BF"/>
                <w:lang w:val="fr-FR"/>
              </w:rPr>
              <w:t>210</w:t>
            </w:r>
          </w:p>
        </w:tc>
        <w:tc>
          <w:tcPr>
            <w:tcW w:w="1250" w:type="pct"/>
          </w:tcPr>
          <w:p w:rsidR="004E5003" w:rsidRDefault="004E5003">
            <w:pPr>
              <w:pStyle w:val="DecimalAligned"/>
              <w:rPr>
                <w:color w:val="365F91" w:themeColor="accent1" w:themeShade="BF"/>
              </w:rPr>
            </w:pPr>
            <w:r>
              <w:rPr>
                <w:color w:val="365F91" w:themeColor="accent1" w:themeShade="BF"/>
                <w:lang w:val="fr-FR"/>
              </w:rPr>
              <w:t>-8</w:t>
            </w:r>
          </w:p>
        </w:tc>
      </w:tr>
      <w:tr w:rsidR="004E5003" w:rsidTr="00B25D13">
        <w:tc>
          <w:tcPr>
            <w:tcW w:w="1250" w:type="pct"/>
            <w:noWrap/>
          </w:tcPr>
          <w:p w:rsidR="004E5003" w:rsidRDefault="004E5003">
            <w:pPr>
              <w:rPr>
                <w:color w:val="365F91" w:themeColor="accent1" w:themeShade="BF"/>
              </w:rPr>
            </w:pPr>
          </w:p>
        </w:tc>
        <w:tc>
          <w:tcPr>
            <w:tcW w:w="1250" w:type="pct"/>
          </w:tcPr>
          <w:p w:rsidR="004E5003" w:rsidRDefault="004E5003">
            <w:pPr>
              <w:rPr>
                <w:rStyle w:val="Emphaseple"/>
                <w:color w:val="7F7F7F" w:themeColor="text1" w:themeTint="80"/>
              </w:rPr>
            </w:pPr>
            <w:r>
              <w:rPr>
                <w:rStyle w:val="Emphaseple"/>
                <w:color w:val="7F7F7F" w:themeColor="text1" w:themeTint="80"/>
                <w:lang w:val="fr-FR"/>
              </w:rPr>
              <w:t>Diplômé</w:t>
            </w:r>
          </w:p>
        </w:tc>
        <w:tc>
          <w:tcPr>
            <w:tcW w:w="1250" w:type="pct"/>
          </w:tcPr>
          <w:p w:rsidR="004E5003" w:rsidRDefault="004E5003">
            <w:pPr>
              <w:rPr>
                <w:color w:val="365F91" w:themeColor="accent1" w:themeShade="BF"/>
              </w:rPr>
            </w:pPr>
          </w:p>
        </w:tc>
        <w:tc>
          <w:tcPr>
            <w:tcW w:w="1250" w:type="pct"/>
          </w:tcPr>
          <w:p w:rsidR="004E5003" w:rsidRDefault="004E5003">
            <w:pPr>
              <w:rPr>
                <w:color w:val="365F91" w:themeColor="accent1" w:themeShade="BF"/>
              </w:rPr>
            </w:pP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Université du cèdre</w:t>
            </w:r>
          </w:p>
        </w:tc>
        <w:tc>
          <w:tcPr>
            <w:tcW w:w="1250" w:type="pct"/>
          </w:tcPr>
          <w:p w:rsidR="004E5003" w:rsidRDefault="004E5003">
            <w:pPr>
              <w:pStyle w:val="DecimalAligned"/>
              <w:rPr>
                <w:color w:val="365F91" w:themeColor="accent1" w:themeShade="BF"/>
              </w:rPr>
            </w:pPr>
            <w:r>
              <w:rPr>
                <w:color w:val="365F91" w:themeColor="accent1" w:themeShade="BF"/>
                <w:lang w:val="fr-FR"/>
              </w:rPr>
              <w:t>24</w:t>
            </w:r>
          </w:p>
        </w:tc>
        <w:tc>
          <w:tcPr>
            <w:tcW w:w="1250" w:type="pct"/>
          </w:tcPr>
          <w:p w:rsidR="004E5003" w:rsidRDefault="004E5003">
            <w:pPr>
              <w:pStyle w:val="DecimalAligned"/>
              <w:rPr>
                <w:color w:val="365F91" w:themeColor="accent1" w:themeShade="BF"/>
              </w:rPr>
            </w:pPr>
            <w:r>
              <w:rPr>
                <w:color w:val="365F91" w:themeColor="accent1" w:themeShade="BF"/>
                <w:lang w:val="fr-FR"/>
              </w:rPr>
              <w:t>20</w:t>
            </w:r>
          </w:p>
        </w:tc>
        <w:tc>
          <w:tcPr>
            <w:tcW w:w="1250" w:type="pct"/>
          </w:tcPr>
          <w:p w:rsidR="004E5003" w:rsidRDefault="004E5003">
            <w:pPr>
              <w:pStyle w:val="DecimalAligned"/>
              <w:rPr>
                <w:color w:val="365F91" w:themeColor="accent1" w:themeShade="BF"/>
              </w:rPr>
            </w:pPr>
            <w:r>
              <w:rPr>
                <w:color w:val="365F91" w:themeColor="accent1" w:themeShade="BF"/>
                <w:lang w:val="fr-FR"/>
              </w:rPr>
              <w:t>+4</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Collège de l’orme</w:t>
            </w:r>
          </w:p>
        </w:tc>
        <w:tc>
          <w:tcPr>
            <w:tcW w:w="1250" w:type="pct"/>
          </w:tcPr>
          <w:p w:rsidR="004E5003" w:rsidRDefault="004E5003">
            <w:pPr>
              <w:pStyle w:val="DecimalAligned"/>
              <w:rPr>
                <w:color w:val="365F91" w:themeColor="accent1" w:themeShade="BF"/>
              </w:rPr>
            </w:pPr>
            <w:r>
              <w:rPr>
                <w:color w:val="365F91" w:themeColor="accent1" w:themeShade="BF"/>
                <w:lang w:val="fr-FR"/>
              </w:rPr>
              <w:t>43</w:t>
            </w:r>
          </w:p>
        </w:tc>
        <w:tc>
          <w:tcPr>
            <w:tcW w:w="1250" w:type="pct"/>
          </w:tcPr>
          <w:p w:rsidR="004E5003" w:rsidRDefault="004E5003">
            <w:pPr>
              <w:pStyle w:val="DecimalAligned"/>
              <w:rPr>
                <w:color w:val="365F91" w:themeColor="accent1" w:themeShade="BF"/>
              </w:rPr>
            </w:pPr>
            <w:r>
              <w:rPr>
                <w:color w:val="365F91" w:themeColor="accent1" w:themeShade="BF"/>
                <w:lang w:val="fr-FR"/>
              </w:rPr>
              <w:t>53</w:t>
            </w:r>
          </w:p>
        </w:tc>
        <w:tc>
          <w:tcPr>
            <w:tcW w:w="1250" w:type="pct"/>
          </w:tcPr>
          <w:p w:rsidR="004E5003" w:rsidRDefault="004E5003">
            <w:pPr>
              <w:pStyle w:val="DecimalAligned"/>
              <w:rPr>
                <w:color w:val="365F91" w:themeColor="accent1" w:themeShade="BF"/>
              </w:rPr>
            </w:pPr>
            <w:r>
              <w:rPr>
                <w:color w:val="365F91" w:themeColor="accent1" w:themeShade="BF"/>
                <w:lang w:val="fr-FR"/>
              </w:rPr>
              <w:t>-10</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 xml:space="preserve">Académie de l’érable </w:t>
            </w:r>
          </w:p>
        </w:tc>
        <w:tc>
          <w:tcPr>
            <w:tcW w:w="1250" w:type="pct"/>
          </w:tcPr>
          <w:p w:rsidR="004E5003" w:rsidRDefault="004E5003">
            <w:pPr>
              <w:pStyle w:val="DecimalAligned"/>
              <w:rPr>
                <w:color w:val="365F91" w:themeColor="accent1" w:themeShade="BF"/>
              </w:rPr>
            </w:pPr>
            <w:r>
              <w:rPr>
                <w:color w:val="365F91" w:themeColor="accent1" w:themeShade="BF"/>
                <w:lang w:val="fr-FR"/>
              </w:rPr>
              <w:t>3</w:t>
            </w:r>
          </w:p>
        </w:tc>
        <w:tc>
          <w:tcPr>
            <w:tcW w:w="1250" w:type="pct"/>
          </w:tcPr>
          <w:p w:rsidR="004E5003" w:rsidRDefault="004E5003">
            <w:pPr>
              <w:pStyle w:val="DecimalAligned"/>
              <w:rPr>
                <w:color w:val="365F91" w:themeColor="accent1" w:themeShade="BF"/>
              </w:rPr>
            </w:pPr>
            <w:r>
              <w:rPr>
                <w:color w:val="365F91" w:themeColor="accent1" w:themeShade="BF"/>
                <w:lang w:val="fr-FR"/>
              </w:rPr>
              <w:t>11</w:t>
            </w:r>
          </w:p>
        </w:tc>
        <w:tc>
          <w:tcPr>
            <w:tcW w:w="1250" w:type="pct"/>
          </w:tcPr>
          <w:p w:rsidR="004E5003" w:rsidRDefault="004E5003">
            <w:pPr>
              <w:pStyle w:val="DecimalAligned"/>
              <w:rPr>
                <w:color w:val="365F91" w:themeColor="accent1" w:themeShade="BF"/>
              </w:rPr>
            </w:pPr>
            <w:r>
              <w:rPr>
                <w:color w:val="365F91" w:themeColor="accent1" w:themeShade="BF"/>
                <w:lang w:val="fr-FR"/>
              </w:rPr>
              <w:t>-8</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Collège des pinacées</w:t>
            </w:r>
          </w:p>
        </w:tc>
        <w:tc>
          <w:tcPr>
            <w:tcW w:w="1250" w:type="pct"/>
          </w:tcPr>
          <w:p w:rsidR="004E5003" w:rsidRDefault="004E5003">
            <w:pPr>
              <w:pStyle w:val="DecimalAligned"/>
              <w:rPr>
                <w:color w:val="365F91" w:themeColor="accent1" w:themeShade="BF"/>
              </w:rPr>
            </w:pPr>
            <w:r>
              <w:rPr>
                <w:color w:val="365F91" w:themeColor="accent1" w:themeShade="BF"/>
                <w:lang w:val="fr-FR"/>
              </w:rPr>
              <w:t>9</w:t>
            </w:r>
          </w:p>
        </w:tc>
        <w:tc>
          <w:tcPr>
            <w:tcW w:w="1250" w:type="pct"/>
          </w:tcPr>
          <w:p w:rsidR="004E5003" w:rsidRDefault="004E5003">
            <w:pPr>
              <w:pStyle w:val="DecimalAligned"/>
              <w:rPr>
                <w:color w:val="365F91" w:themeColor="accent1" w:themeShade="BF"/>
              </w:rPr>
            </w:pPr>
            <w:r>
              <w:rPr>
                <w:color w:val="365F91" w:themeColor="accent1" w:themeShade="BF"/>
                <w:lang w:val="fr-FR"/>
              </w:rPr>
              <w:t>4</w:t>
            </w:r>
          </w:p>
        </w:tc>
        <w:tc>
          <w:tcPr>
            <w:tcW w:w="1250" w:type="pct"/>
          </w:tcPr>
          <w:p w:rsidR="004E5003" w:rsidRDefault="004E5003">
            <w:pPr>
              <w:pStyle w:val="DecimalAligned"/>
              <w:rPr>
                <w:color w:val="365F91" w:themeColor="accent1" w:themeShade="BF"/>
              </w:rPr>
            </w:pPr>
            <w:r>
              <w:rPr>
                <w:color w:val="365F91" w:themeColor="accent1" w:themeShade="BF"/>
                <w:lang w:val="fr-FR"/>
              </w:rPr>
              <w:t>+5</w:t>
            </w:r>
          </w:p>
        </w:tc>
      </w:tr>
      <w:tr w:rsidR="004E5003" w:rsidTr="00B25D13">
        <w:tc>
          <w:tcPr>
            <w:tcW w:w="1250" w:type="pct"/>
            <w:noWrap/>
          </w:tcPr>
          <w:p w:rsidR="004E5003" w:rsidRDefault="004E5003">
            <w:pPr>
              <w:rPr>
                <w:color w:val="365F91" w:themeColor="accent1" w:themeShade="BF"/>
              </w:rPr>
            </w:pPr>
            <w:r>
              <w:rPr>
                <w:color w:val="365F91" w:themeColor="accent1" w:themeShade="BF"/>
                <w:lang w:val="fr-FR"/>
              </w:rPr>
              <w:t>Institut du chêne</w:t>
            </w:r>
          </w:p>
        </w:tc>
        <w:tc>
          <w:tcPr>
            <w:tcW w:w="1250" w:type="pct"/>
          </w:tcPr>
          <w:p w:rsidR="004E5003" w:rsidRDefault="004E5003">
            <w:pPr>
              <w:pStyle w:val="DecimalAligned"/>
              <w:rPr>
                <w:color w:val="365F91" w:themeColor="accent1" w:themeShade="BF"/>
              </w:rPr>
            </w:pPr>
            <w:r>
              <w:rPr>
                <w:color w:val="365F91" w:themeColor="accent1" w:themeShade="BF"/>
                <w:lang w:val="fr-FR"/>
              </w:rPr>
              <w:t>53</w:t>
            </w:r>
          </w:p>
        </w:tc>
        <w:tc>
          <w:tcPr>
            <w:tcW w:w="1250" w:type="pct"/>
          </w:tcPr>
          <w:p w:rsidR="004E5003" w:rsidRDefault="004E5003">
            <w:pPr>
              <w:pStyle w:val="DecimalAligned"/>
              <w:rPr>
                <w:color w:val="365F91" w:themeColor="accent1" w:themeShade="BF"/>
              </w:rPr>
            </w:pPr>
            <w:r>
              <w:rPr>
                <w:color w:val="365F91" w:themeColor="accent1" w:themeShade="BF"/>
                <w:lang w:val="fr-FR"/>
              </w:rPr>
              <w:t>52</w:t>
            </w:r>
          </w:p>
        </w:tc>
        <w:tc>
          <w:tcPr>
            <w:tcW w:w="1250" w:type="pct"/>
          </w:tcPr>
          <w:p w:rsidR="004E5003" w:rsidRDefault="004E5003">
            <w:pPr>
              <w:pStyle w:val="DecimalAligned"/>
              <w:rPr>
                <w:color w:val="365F91" w:themeColor="accent1" w:themeShade="BF"/>
              </w:rPr>
            </w:pPr>
            <w:r>
              <w:rPr>
                <w:color w:val="365F91" w:themeColor="accent1" w:themeShade="BF"/>
                <w:lang w:val="fr-FR"/>
              </w:rPr>
              <w:t>+1</w:t>
            </w:r>
          </w:p>
        </w:tc>
      </w:tr>
      <w:tr w:rsidR="004E5003" w:rsidTr="00B25D13">
        <w:trPr>
          <w:cnfStyle w:val="010000000000" w:firstRow="0" w:lastRow="1" w:firstColumn="0" w:lastColumn="0" w:oddVBand="0" w:evenVBand="0" w:oddHBand="0" w:evenHBand="0" w:firstRowFirstColumn="0" w:firstRowLastColumn="0" w:lastRowFirstColumn="0" w:lastRowLastColumn="0"/>
        </w:trPr>
        <w:tc>
          <w:tcPr>
            <w:tcW w:w="1250" w:type="pct"/>
            <w:noWrap/>
          </w:tcPr>
          <w:p w:rsidR="004E5003" w:rsidRDefault="004E5003">
            <w:pPr>
              <w:rPr>
                <w:color w:val="365F91" w:themeColor="accent1" w:themeShade="BF"/>
              </w:rPr>
            </w:pPr>
            <w:r>
              <w:rPr>
                <w:color w:val="365F91" w:themeColor="accent1" w:themeShade="BF"/>
                <w:lang w:val="fr-FR"/>
              </w:rPr>
              <w:t>Total</w:t>
            </w:r>
          </w:p>
        </w:tc>
        <w:tc>
          <w:tcPr>
            <w:tcW w:w="1250" w:type="pct"/>
          </w:tcPr>
          <w:p w:rsidR="004E5003" w:rsidRDefault="004E5003">
            <w:pPr>
              <w:pStyle w:val="DecimalAligned"/>
              <w:rPr>
                <w:color w:val="365F91" w:themeColor="accent1" w:themeShade="BF"/>
              </w:rPr>
            </w:pPr>
            <w:r>
              <w:rPr>
                <w:color w:val="365F91" w:themeColor="accent1" w:themeShade="BF"/>
                <w:lang w:val="fr-FR"/>
              </w:rPr>
              <w:t>998</w:t>
            </w:r>
          </w:p>
        </w:tc>
        <w:tc>
          <w:tcPr>
            <w:tcW w:w="1250" w:type="pct"/>
          </w:tcPr>
          <w:p w:rsidR="004E5003" w:rsidRDefault="004E5003">
            <w:pPr>
              <w:pStyle w:val="DecimalAligned"/>
              <w:rPr>
                <w:color w:val="365F91" w:themeColor="accent1" w:themeShade="BF"/>
              </w:rPr>
            </w:pPr>
            <w:r>
              <w:rPr>
                <w:color w:val="365F91" w:themeColor="accent1" w:themeShade="BF"/>
                <w:lang w:val="fr-FR"/>
              </w:rPr>
              <w:t>908</w:t>
            </w:r>
          </w:p>
        </w:tc>
        <w:tc>
          <w:tcPr>
            <w:tcW w:w="1250" w:type="pct"/>
          </w:tcPr>
          <w:p w:rsidR="004E5003" w:rsidRDefault="004E5003">
            <w:pPr>
              <w:pStyle w:val="DecimalAligned"/>
              <w:rPr>
                <w:color w:val="365F91" w:themeColor="accent1" w:themeShade="BF"/>
              </w:rPr>
            </w:pPr>
            <w:r>
              <w:rPr>
                <w:color w:val="365F91" w:themeColor="accent1" w:themeShade="BF"/>
                <w:lang w:val="fr-FR"/>
              </w:rPr>
              <w:t>90</w:t>
            </w:r>
          </w:p>
        </w:tc>
      </w:tr>
    </w:tbl>
    <w:p w:rsidR="004E5003" w:rsidRDefault="004E5003">
      <w:pPr>
        <w:pStyle w:val="Notedebasdepage"/>
      </w:pPr>
      <w:r>
        <w:rPr>
          <w:rStyle w:val="Emphaseple"/>
          <w:color w:val="7F7F7F" w:themeColor="text1" w:themeTint="80"/>
          <w:lang w:val="fr-FR"/>
        </w:rPr>
        <w:t>Source :</w:t>
      </w:r>
      <w:r>
        <w:rPr>
          <w:lang w:val="fr-FR"/>
        </w:rPr>
        <w:t xml:space="preserve"> Données fictives fournies à des fins d’illustration uniquement</w:t>
      </w:r>
    </w:p>
    <w:p w:rsidR="004E5003" w:rsidRDefault="004E5003" w:rsidP="002C453A">
      <w:pPr>
        <w:jc w:val="both"/>
      </w:pPr>
      <w:r>
        <w:br w:type="page"/>
      </w:r>
    </w:p>
    <w:p w:rsidR="00DE1660" w:rsidRPr="0030473E" w:rsidRDefault="00000DE5" w:rsidP="002C453A">
      <w:pPr>
        <w:jc w:val="both"/>
      </w:pPr>
    </w:p>
    <w:sectPr w:rsidR="00DE1660" w:rsidRPr="0030473E" w:rsidSect="004E5003">
      <w:headerReference w:type="default" r:id="rId8"/>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E5" w:rsidRDefault="00000DE5" w:rsidP="00FA642E">
      <w:pPr>
        <w:spacing w:after="0" w:line="240" w:lineRule="auto"/>
      </w:pPr>
      <w:r>
        <w:separator/>
      </w:r>
    </w:p>
  </w:endnote>
  <w:endnote w:type="continuationSeparator" w:id="0">
    <w:p w:rsidR="00000DE5" w:rsidRDefault="00000DE5" w:rsidP="00FA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352108"/>
      <w:docPartObj>
        <w:docPartGallery w:val="Page Numbers (Bottom of Page)"/>
        <w:docPartUnique/>
      </w:docPartObj>
    </w:sdtPr>
    <w:sdtContent>
      <w:p w:rsidR="00FA642E" w:rsidRDefault="00FA642E">
        <w:pPr>
          <w:pStyle w:val="Pieddepage"/>
        </w:pPr>
        <w:r>
          <w:rPr>
            <w:noProof/>
          </w:rPr>
          <mc:AlternateContent>
            <mc:Choice Requires="wps">
              <w:drawing>
                <wp:anchor distT="0" distB="0" distL="114300" distR="114300" simplePos="0" relativeHeight="251659264" behindDoc="0" locked="0" layoutInCell="0" allowOverlap="1" wp14:anchorId="3631D172" wp14:editId="303CC5ED">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FA642E" w:rsidRDefault="00FA642E">
                              <w:pPr>
                                <w:jc w:val="center"/>
                              </w:pPr>
                              <w:r>
                                <w:fldChar w:fldCharType="begin"/>
                              </w:r>
                              <w:r>
                                <w:instrText>PAGE    \* MERGEFORMAT</w:instrText>
                              </w:r>
                              <w:r>
                                <w:fldChar w:fldCharType="separate"/>
                              </w:r>
                              <w:r w:rsidR="004E5003" w:rsidRPr="004E5003">
                                <w:rPr>
                                  <w:noProof/>
                                  <w:sz w:val="16"/>
                                  <w:szCs w:val="16"/>
                                  <w:lang w:val="fr-FR"/>
                                </w:rPr>
                                <w:t>4</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FA642E" w:rsidRDefault="00FA642E">
                        <w:pPr>
                          <w:jc w:val="center"/>
                        </w:pPr>
                        <w:r>
                          <w:fldChar w:fldCharType="begin"/>
                        </w:r>
                        <w:r>
                          <w:instrText>PAGE    \* MERGEFORMAT</w:instrText>
                        </w:r>
                        <w:r>
                          <w:fldChar w:fldCharType="separate"/>
                        </w:r>
                        <w:r w:rsidR="004E5003" w:rsidRPr="004E5003">
                          <w:rPr>
                            <w:noProof/>
                            <w:sz w:val="16"/>
                            <w:szCs w:val="16"/>
                            <w:lang w:val="fr-FR"/>
                          </w:rPr>
                          <w:t>4</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E5" w:rsidRDefault="00000DE5" w:rsidP="00FA642E">
      <w:pPr>
        <w:spacing w:after="0" w:line="240" w:lineRule="auto"/>
      </w:pPr>
      <w:r>
        <w:separator/>
      </w:r>
    </w:p>
  </w:footnote>
  <w:footnote w:type="continuationSeparator" w:id="0">
    <w:p w:rsidR="00000DE5" w:rsidRDefault="00000DE5" w:rsidP="00FA6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2E" w:rsidRPr="00FA642E" w:rsidRDefault="00FA642E" w:rsidP="00FA642E">
    <w:pPr>
      <w:pStyle w:val="En-tte"/>
      <w:jc w:val="center"/>
      <w:rPr>
        <w:sz w:val="32"/>
      </w:rPr>
    </w:pPr>
    <w:r w:rsidRPr="00FA642E">
      <w:rPr>
        <w:sz w:val="32"/>
      </w:rPr>
      <w:t>Les sauts de page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91F"/>
    <w:rsid w:val="00000DE5"/>
    <w:rsid w:val="0019321A"/>
    <w:rsid w:val="001C45D0"/>
    <w:rsid w:val="002C453A"/>
    <w:rsid w:val="0030473E"/>
    <w:rsid w:val="003B3FA1"/>
    <w:rsid w:val="00406DE9"/>
    <w:rsid w:val="004E5003"/>
    <w:rsid w:val="005C5CFE"/>
    <w:rsid w:val="006520C3"/>
    <w:rsid w:val="0078391F"/>
    <w:rsid w:val="007B1038"/>
    <w:rsid w:val="00A852F5"/>
    <w:rsid w:val="00C87B26"/>
    <w:rsid w:val="00DB27BE"/>
    <w:rsid w:val="00FA642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 w:type="paragraph" w:customStyle="1" w:styleId="DecimalAligned">
    <w:name w:val="Decimal Aligned"/>
    <w:basedOn w:val="Normal"/>
    <w:uiPriority w:val="40"/>
    <w:qFormat/>
    <w:rsid w:val="004E5003"/>
    <w:pPr>
      <w:tabs>
        <w:tab w:val="decimal" w:pos="360"/>
      </w:tabs>
    </w:pPr>
    <w:rPr>
      <w:lang w:eastAsia="fr-CA"/>
    </w:rPr>
  </w:style>
  <w:style w:type="paragraph" w:styleId="Notedebasdepage">
    <w:name w:val="footnote text"/>
    <w:basedOn w:val="Normal"/>
    <w:link w:val="NotedebasdepageCar"/>
    <w:uiPriority w:val="99"/>
    <w:unhideWhenUsed/>
    <w:rsid w:val="004E5003"/>
    <w:pPr>
      <w:spacing w:after="0" w:line="240" w:lineRule="auto"/>
    </w:pPr>
    <w:rPr>
      <w:rFonts w:eastAsiaTheme="minorEastAsia"/>
      <w:sz w:val="20"/>
      <w:szCs w:val="20"/>
      <w:lang w:eastAsia="fr-CA"/>
    </w:rPr>
  </w:style>
  <w:style w:type="character" w:customStyle="1" w:styleId="NotedebasdepageCar">
    <w:name w:val="Note de bas de page Car"/>
    <w:basedOn w:val="Policepardfaut"/>
    <w:link w:val="Notedebasdepage"/>
    <w:uiPriority w:val="99"/>
    <w:rsid w:val="004E5003"/>
    <w:rPr>
      <w:rFonts w:eastAsiaTheme="minorEastAsia"/>
      <w:sz w:val="20"/>
      <w:szCs w:val="20"/>
      <w:lang w:eastAsia="fr-CA"/>
    </w:rPr>
  </w:style>
  <w:style w:type="character" w:styleId="Emphaseple">
    <w:name w:val="Subtle Emphasis"/>
    <w:basedOn w:val="Policepardfaut"/>
    <w:uiPriority w:val="19"/>
    <w:qFormat/>
    <w:rsid w:val="004E5003"/>
    <w:rPr>
      <w:i/>
      <w:iCs/>
      <w:color w:val="7F7F7F" w:themeColor="text1" w:themeTint="80"/>
    </w:rPr>
  </w:style>
  <w:style w:type="table" w:styleId="Trameclaire-Accent1">
    <w:name w:val="Light Shading Accent 1"/>
    <w:basedOn w:val="TableauNormal"/>
    <w:uiPriority w:val="60"/>
    <w:rsid w:val="004E5003"/>
    <w:pPr>
      <w:spacing w:after="0" w:line="240" w:lineRule="auto"/>
    </w:pPr>
    <w:rPr>
      <w:rFonts w:eastAsiaTheme="minorEastAsia"/>
      <w:color w:val="365F91" w:themeColor="accent1" w:themeShade="BF"/>
      <w:lang w:eastAsia="fr-C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 w:type="paragraph" w:customStyle="1" w:styleId="DecimalAligned">
    <w:name w:val="Decimal Aligned"/>
    <w:basedOn w:val="Normal"/>
    <w:uiPriority w:val="40"/>
    <w:qFormat/>
    <w:rsid w:val="004E5003"/>
    <w:pPr>
      <w:tabs>
        <w:tab w:val="decimal" w:pos="360"/>
      </w:tabs>
    </w:pPr>
    <w:rPr>
      <w:lang w:eastAsia="fr-CA"/>
    </w:rPr>
  </w:style>
  <w:style w:type="paragraph" w:styleId="Notedebasdepage">
    <w:name w:val="footnote text"/>
    <w:basedOn w:val="Normal"/>
    <w:link w:val="NotedebasdepageCar"/>
    <w:uiPriority w:val="99"/>
    <w:unhideWhenUsed/>
    <w:rsid w:val="004E5003"/>
    <w:pPr>
      <w:spacing w:after="0" w:line="240" w:lineRule="auto"/>
    </w:pPr>
    <w:rPr>
      <w:rFonts w:eastAsiaTheme="minorEastAsia"/>
      <w:sz w:val="20"/>
      <w:szCs w:val="20"/>
      <w:lang w:eastAsia="fr-CA"/>
    </w:rPr>
  </w:style>
  <w:style w:type="character" w:customStyle="1" w:styleId="NotedebasdepageCar">
    <w:name w:val="Note de bas de page Car"/>
    <w:basedOn w:val="Policepardfaut"/>
    <w:link w:val="Notedebasdepage"/>
    <w:uiPriority w:val="99"/>
    <w:rsid w:val="004E5003"/>
    <w:rPr>
      <w:rFonts w:eastAsiaTheme="minorEastAsia"/>
      <w:sz w:val="20"/>
      <w:szCs w:val="20"/>
      <w:lang w:eastAsia="fr-CA"/>
    </w:rPr>
  </w:style>
  <w:style w:type="character" w:styleId="Emphaseple">
    <w:name w:val="Subtle Emphasis"/>
    <w:basedOn w:val="Policepardfaut"/>
    <w:uiPriority w:val="19"/>
    <w:qFormat/>
    <w:rsid w:val="004E5003"/>
    <w:rPr>
      <w:i/>
      <w:iCs/>
      <w:color w:val="7F7F7F" w:themeColor="text1" w:themeTint="80"/>
    </w:rPr>
  </w:style>
  <w:style w:type="table" w:styleId="Trameclaire-Accent1">
    <w:name w:val="Light Shading Accent 1"/>
    <w:basedOn w:val="TableauNormal"/>
    <w:uiPriority w:val="60"/>
    <w:rsid w:val="004E5003"/>
    <w:pPr>
      <w:spacing w:after="0" w:line="240" w:lineRule="auto"/>
    </w:pPr>
    <w:rPr>
      <w:rFonts w:eastAsiaTheme="minorEastAsia"/>
      <w:color w:val="365F91" w:themeColor="accent1" w:themeShade="BF"/>
      <w:lang w:eastAsia="fr-C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BD903-5B79-42E8-B76F-796058CB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833</Words>
  <Characters>4584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3</cp:revision>
  <dcterms:created xsi:type="dcterms:W3CDTF">2011-07-22T22:08:00Z</dcterms:created>
  <dcterms:modified xsi:type="dcterms:W3CDTF">2011-07-22T22:11:00Z</dcterms:modified>
</cp:coreProperties>
</file>